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03AD" w:rsidRDefault="00D32324">
      <w:pPr>
        <w:spacing w:line="360" w:lineRule="auto"/>
        <w:jc w:val="right"/>
      </w:pPr>
      <w:r>
        <w:rPr>
          <w:rFonts w:ascii="Cambria Bold" w:hAnsi="Cambria Bold"/>
          <w:b/>
          <w:sz w:val="24"/>
        </w:rPr>
        <w:t>Anexa nr. 15</w:t>
      </w:r>
    </w:p>
    <w:p w:rsidR="009E03AD" w:rsidRDefault="00D32324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>F1 - Fișa de verificare a criteriilor de eligibilitate și de selecție locale</w:t>
      </w:r>
    </w:p>
    <w:p w:rsidR="009E03AD" w:rsidRDefault="00D32324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Nr. autorizație GAL </w:t>
      </w:r>
      <w:r>
        <w:rPr>
          <w:rFonts w:ascii="Cambria Bold" w:hAnsi="Cambria Bold"/>
          <w:b/>
          <w:sz w:val="24"/>
        </w:rPr>
        <w:t>198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Denumire parteneriat/GAL </w:t>
      </w:r>
      <w:r>
        <w:rPr>
          <w:rFonts w:ascii="Cambria Bold" w:hAnsi="Cambria Bold"/>
          <w:b/>
          <w:sz w:val="24"/>
        </w:rPr>
        <w:t xml:space="preserve">Asociația Grupul de </w:t>
      </w:r>
      <w:proofErr w:type="spellStart"/>
      <w:r>
        <w:rPr>
          <w:rFonts w:ascii="Cambria Bold" w:hAnsi="Cambria Bold"/>
          <w:b/>
          <w:sz w:val="24"/>
        </w:rPr>
        <w:t>Acţiune</w:t>
      </w:r>
      <w:proofErr w:type="spellEnd"/>
      <w:r>
        <w:rPr>
          <w:rFonts w:ascii="Cambria Bold" w:hAnsi="Cambria Bold"/>
          <w:b/>
          <w:sz w:val="24"/>
        </w:rPr>
        <w:t xml:space="preserve"> Locală "Depresiunea Sebiș-Gurahonț-Hălmagiu"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Denumire intervenție </w:t>
      </w:r>
      <w:r>
        <w:rPr>
          <w:rFonts w:ascii="Cambria Bold" w:hAnsi="Cambria Bold"/>
          <w:b/>
          <w:sz w:val="24"/>
        </w:rPr>
        <w:t>Cooperare GAL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Data de lansare a sesiunii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Denumirea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Solicitantul </w:t>
      </w:r>
      <w:r>
        <w:rPr>
          <w:rFonts w:ascii="Cambria" w:hAnsi="Cambria"/>
          <w:color w:val="8F8F8F"/>
          <w:sz w:val="24"/>
        </w:rPr>
        <w:t xml:space="preserve">_ _ _ _ _ _ _ _ _ _ _ _ _ _ _ _ _ _ _ _ _ _ _ _ _ _ _ </w:t>
      </w:r>
      <w:r>
        <w:rPr>
          <w:rFonts w:ascii="Cambria" w:hAnsi="Cambria"/>
          <w:color w:val="8F8F8F"/>
          <w:sz w:val="24"/>
        </w:rPr>
        <w:t>_ _ _ _ _ _ _ _ _ _ _ _ _ _ _ _ _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Data depunerii proiectului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Valoarea publică nerambursabilă a proiectului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t>Valoarea totală a proiectului </w:t>
      </w:r>
      <w:r>
        <w:rPr>
          <w:rFonts w:ascii="Cambria" w:hAnsi="Cambria"/>
          <w:color w:val="8F8F8F"/>
          <w:sz w:val="24"/>
        </w:rPr>
        <w:t>_ _ _ _ _ _ _ _</w:t>
      </w:r>
      <w:r>
        <w:rPr>
          <w:rFonts w:ascii="Cambria" w:hAnsi="Cambria"/>
          <w:color w:val="8F8F8F"/>
          <w:sz w:val="24"/>
        </w:rPr>
        <w:t xml:space="preserve"> _ _ _ _ _ _ _ _ _ _ _ _ _ _ _ _ _ _ _ _ _ _ _ _</w:t>
      </w:r>
    </w:p>
    <w:p w:rsidR="009E03AD" w:rsidRDefault="00D32324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3893"/>
        <w:gridCol w:w="709"/>
        <w:gridCol w:w="745"/>
        <w:gridCol w:w="3219"/>
      </w:tblGrid>
      <w:tr w:rsidR="009E03AD">
        <w:tc>
          <w:tcPr>
            <w:tcW w:w="400" w:type="pct"/>
            <w:shd w:val="clear" w:color="auto" w:fill="214F7D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Criteriu de eligibilitate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Observații / Justificări</w:t>
            </w:r>
          </w:p>
        </w:tc>
      </w:tr>
      <w:tr w:rsidR="009E03AD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9E03AD" w:rsidRDefault="00D32324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Dacă sunt îndeplinite toate condițiile de mai jos,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r>
              <w:rPr>
                <w:rFonts w:ascii="Cambria" w:hAnsi="Cambria"/>
                <w:color w:val="FFFFFF"/>
                <w:sz w:val="24"/>
              </w:rPr>
              <w:t xml:space="preserve">în fișa de verificare a criteriilor de eligibilitate. În cazul în </w:t>
            </w:r>
            <w:r>
              <w:rPr>
                <w:rFonts w:ascii="Cambria" w:hAnsi="Cambria"/>
                <w:color w:val="FFFFFF"/>
                <w:sz w:val="24"/>
              </w:rPr>
              <w:t>care sunt identificate neconcordanțe, se va solicita remedierea situației conform cerințelor din Ghidul Solicitantului. În cazul în care solicitantul nu remediază neconcordanța semnalată,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 xml:space="preserve">i se va menționa acest aspect la rubrica, alături de </w:t>
            </w:r>
            <w:r>
              <w:rPr>
                <w:rFonts w:ascii="Cambria" w:hAnsi="Cambria"/>
                <w:color w:val="FFFFFF"/>
                <w:sz w:val="24"/>
              </w:rPr>
              <w:t>justificarea privind neîndeplinirea criteriului. În cazul în care situația este remediată, la rubrica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Observații </w:t>
            </w:r>
            <w:r>
              <w:rPr>
                <w:rFonts w:ascii="Cambria" w:hAnsi="Cambria"/>
                <w:color w:val="FFFFFF"/>
                <w:sz w:val="24"/>
              </w:rPr>
              <w:t>se va specifica mențiunea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Criteriul este îndeplinit ca urmare a răspunsului la solicitarea de clarificări </w:t>
            </w:r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 se va bifa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9E03AD">
        <w:trPr>
          <w:trHeight w:val="540"/>
        </w:trPr>
        <w:tc>
          <w:tcPr>
            <w:tcW w:w="0" w:type="auto"/>
            <w:vMerge w:val="restart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Acțiunile pro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puse se vor implementa în acord de parteneriat;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</w:tcPr>
          <w:p w:rsidR="009E03AD" w:rsidRDefault="009E03AD"/>
        </w:tc>
      </w:tr>
      <w:tr w:rsidR="009E03AD">
        <w:tc>
          <w:tcPr>
            <w:tcW w:w="0" w:type="dxa"/>
            <w:vMerge/>
          </w:tcPr>
          <w:p w:rsidR="009E03AD" w:rsidRDefault="009E03AD"/>
        </w:tc>
        <w:tc>
          <w:tcPr>
            <w:tcW w:w="0" w:type="auto"/>
          </w:tcPr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Documente de verificat: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Acord de cooperare/ Acord de parteneriat;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- Documente care atestă statutul partenerilor ( autorizație de </w:t>
            </w:r>
            <w:proofErr w:type="spellStart"/>
            <w:r>
              <w:rPr>
                <w:rFonts w:ascii="Cambria" w:hAnsi="Cambria"/>
                <w:sz w:val="24"/>
              </w:rPr>
              <w:t>funcționare,statut</w:t>
            </w:r>
            <w:proofErr w:type="spellEnd"/>
            <w:r>
              <w:rPr>
                <w:rFonts w:ascii="Cambria" w:hAnsi="Cambria"/>
                <w:sz w:val="24"/>
              </w:rPr>
              <w:t xml:space="preserve"> și/sau act constitutiv GAL/CLLD, Extras </w:t>
            </w:r>
            <w:r>
              <w:rPr>
                <w:rFonts w:ascii="Cambria" w:hAnsi="Cambria"/>
                <w:sz w:val="24"/>
              </w:rPr>
              <w:t>relevant din SDL și Fișa intervenției nr. 6 /echivalent);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- Cererea de finanțare ( cap.A10.6 și </w:t>
            </w:r>
            <w:r>
              <w:rPr>
                <w:rFonts w:ascii="Cambria" w:hAnsi="Cambria"/>
                <w:sz w:val="24"/>
              </w:rPr>
              <w:lastRenderedPageBreak/>
              <w:t>A10.7 din CF).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Metodologia de verificare 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EG 1:- Verificarea existenței unui Acord de parteneriat semnat de toate părțile implicate,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Analiza rolurilor și responsa</w:t>
            </w:r>
            <w:r>
              <w:rPr>
                <w:rFonts w:ascii="Cambria" w:hAnsi="Cambria"/>
                <w:sz w:val="24"/>
              </w:rPr>
              <w:t>bilităților asumate de fiecare partener în raport cu cerințele minime ale proiectelor de cooperare.- Confirmarea statutului fiecărui partener (GAL/CLLD cu SDL aprobată).</w:t>
            </w:r>
          </w:p>
          <w:p w:rsidR="00D23E03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- Verificarea implicării reale a fiecărui partener în activitățile comune (participare </w:t>
            </w:r>
            <w:r>
              <w:rPr>
                <w:rFonts w:ascii="Cambria" w:hAnsi="Cambria"/>
                <w:sz w:val="24"/>
              </w:rPr>
              <w:t>la întâlniri, contribuții la activități, resurse alocate).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>- Monitorizarea modului în care parteneriatul funcționează pe durata</w:t>
            </w:r>
            <w:r w:rsidR="00D23E03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proiectului (comunicare, coordonare, luarea deciziilor).- Verificarea respectării principiilor de cooperare: </w:t>
            </w:r>
            <w:proofErr w:type="spellStart"/>
            <w:r>
              <w:rPr>
                <w:rFonts w:ascii="Cambria" w:hAnsi="Cambria"/>
                <w:sz w:val="24"/>
              </w:rPr>
              <w:t>complementaritate,rec</w:t>
            </w:r>
            <w:r>
              <w:rPr>
                <w:rFonts w:ascii="Cambria" w:hAnsi="Cambria"/>
                <w:sz w:val="24"/>
              </w:rPr>
              <w:t>iprocitate</w:t>
            </w:r>
            <w:proofErr w:type="spellEnd"/>
            <w:r>
              <w:rPr>
                <w:rFonts w:ascii="Cambria" w:hAnsi="Cambria"/>
                <w:sz w:val="24"/>
              </w:rPr>
              <w:t>, schimb de bune practici.</w:t>
            </w:r>
          </w:p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</w:tr>
      <w:tr w:rsidR="009E03AD">
        <w:trPr>
          <w:trHeight w:val="540"/>
        </w:trPr>
        <w:tc>
          <w:tcPr>
            <w:tcW w:w="0" w:type="auto"/>
            <w:vMerge w:val="restart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EG 2</w:t>
            </w:r>
          </w:p>
        </w:tc>
        <w:tc>
          <w:tcPr>
            <w:tcW w:w="0" w:type="auto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Obiectivul proiectului contribuie la soluționarea nevoilor locale, specific, următoarei nevoi din SDL: • 6. Schimburi amplificate prin cooperare națională și internațională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</w:tcPr>
          <w:p w:rsidR="009E03AD" w:rsidRDefault="009E03AD"/>
        </w:tc>
      </w:tr>
      <w:tr w:rsidR="009E03AD">
        <w:tc>
          <w:tcPr>
            <w:tcW w:w="0" w:type="dxa"/>
            <w:vMerge/>
          </w:tcPr>
          <w:p w:rsidR="009E03AD" w:rsidRDefault="009E03AD"/>
        </w:tc>
        <w:tc>
          <w:tcPr>
            <w:tcW w:w="0" w:type="auto"/>
          </w:tcPr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Documente de </w:t>
            </w:r>
            <w:r>
              <w:rPr>
                <w:rFonts w:ascii="Cambria" w:hAnsi="Cambria"/>
                <w:sz w:val="24"/>
              </w:rPr>
              <w:t>verificat: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- Cererea de finanțare ( unde se va descrie încadrarea în nevoia 6 din</w:t>
            </w:r>
            <w:r w:rsidR="00D31980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SDL).</w:t>
            </w:r>
          </w:p>
          <w:p w:rsidR="009E03AD" w:rsidRDefault="00D32324" w:rsidP="00D31980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Cererea de finanțare - Secțiunea A10.6(Prezentarea activităților care se vor desfășura în cadrul proiectului în vederea realizării obiectivelor propuse).Se verifică a</w:t>
            </w:r>
            <w:r>
              <w:rPr>
                <w:rFonts w:ascii="Cambria" w:hAnsi="Cambria"/>
                <w:sz w:val="24"/>
              </w:rPr>
              <w:t>ctivitățile planificate care</w:t>
            </w:r>
            <w:r w:rsidR="00D31980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evidențiază componentele de </w:t>
            </w:r>
            <w:r>
              <w:rPr>
                <w:rFonts w:ascii="Cambria" w:hAnsi="Cambria"/>
                <w:sz w:val="24"/>
              </w:rPr>
              <w:lastRenderedPageBreak/>
              <w:t>cooperare.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Metodologia de verificare EG 2: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Analiza coerenței dintre obiectivul proiectului și nevoia 6 din SDL.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- Verificarea faptului că activitățile propuse includ elemente de cooperare( schimbur</w:t>
            </w:r>
            <w:r>
              <w:rPr>
                <w:rFonts w:ascii="Cambria" w:hAnsi="Cambria"/>
                <w:sz w:val="24"/>
              </w:rPr>
              <w:t>i de experiență, activități comune, mobilități, evenimente tematice).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Verificarea rezultatelor planificate asumate.</w:t>
            </w:r>
          </w:p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</w:tr>
      <w:tr w:rsidR="009E03AD">
        <w:trPr>
          <w:trHeight w:val="540"/>
        </w:trPr>
        <w:tc>
          <w:tcPr>
            <w:tcW w:w="0" w:type="auto"/>
            <w:vMerge w:val="restart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Resursele mobilizate în proiect sunt dedicate exclusiv priorității locale:• 3. Patrimoniu cultural și cooperare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</w:tcPr>
          <w:p w:rsidR="009E03AD" w:rsidRDefault="009E03AD"/>
        </w:tc>
      </w:tr>
      <w:tr w:rsidR="009E03AD">
        <w:tc>
          <w:tcPr>
            <w:tcW w:w="0" w:type="dxa"/>
            <w:vMerge/>
          </w:tcPr>
          <w:p w:rsidR="009E03AD" w:rsidRDefault="009E03AD"/>
        </w:tc>
        <w:tc>
          <w:tcPr>
            <w:tcW w:w="0" w:type="auto"/>
          </w:tcPr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Extras SDL - prioritatea 3;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Cererea de finanțare: -Obiective proiect corelate cu prioritățile locale;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Fundamentarea bugetului pe categorii de cheltuieli eligibile, corelate cu activitățile și rezultatele proiectului;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-Oferte conforme;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CV-uri experți, C</w:t>
            </w:r>
            <w:r>
              <w:rPr>
                <w:rFonts w:ascii="Cambria" w:hAnsi="Cambria"/>
                <w:sz w:val="24"/>
              </w:rPr>
              <w:t>IM , și/sau , după caz, contracte de colaborare;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Plan de activități.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Metodologia de verificare EG 3: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Verificarea încadrării fiecărei activități în cadrul priorității locale menționate.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 xml:space="preserve">- Analiza bugetului pentru a </w:t>
            </w:r>
            <w:r>
              <w:rPr>
                <w:rFonts w:ascii="Cambria" w:hAnsi="Cambria"/>
                <w:sz w:val="24"/>
              </w:rPr>
              <w:lastRenderedPageBreak/>
              <w:t xml:space="preserve">confirma că resursele financiare sunt </w:t>
            </w:r>
            <w:r>
              <w:rPr>
                <w:rFonts w:ascii="Cambria" w:hAnsi="Cambria"/>
                <w:sz w:val="24"/>
              </w:rPr>
              <w:t>alocate exclusiv activităților eligibile.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 Verificarea documentelor justificative pentru cheltuieli (</w:t>
            </w:r>
            <w:proofErr w:type="spellStart"/>
            <w:r>
              <w:rPr>
                <w:rFonts w:ascii="Cambria" w:hAnsi="Cambria"/>
                <w:sz w:val="24"/>
              </w:rPr>
              <w:t>conformitate,necesitate</w:t>
            </w:r>
            <w:proofErr w:type="spellEnd"/>
            <w:r>
              <w:rPr>
                <w:rFonts w:ascii="Cambria" w:hAnsi="Cambria"/>
                <w:sz w:val="24"/>
              </w:rPr>
              <w:t>, legătura cu activitățile).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 xml:space="preserve">- Monitorizarea implementării activităților pentru a confirma că acestea contribuie la </w:t>
            </w:r>
            <w:proofErr w:type="spellStart"/>
            <w:r>
              <w:rPr>
                <w:rFonts w:ascii="Cambria" w:hAnsi="Cambria"/>
                <w:sz w:val="24"/>
              </w:rPr>
              <w:t>asociativitate,</w:t>
            </w:r>
            <w:r>
              <w:rPr>
                <w:rFonts w:ascii="Cambria" w:hAnsi="Cambria"/>
                <w:sz w:val="24"/>
              </w:rPr>
              <w:t>cultură</w:t>
            </w:r>
            <w:proofErr w:type="spellEnd"/>
            <w:r>
              <w:rPr>
                <w:rFonts w:ascii="Cambria" w:hAnsi="Cambria"/>
                <w:sz w:val="24"/>
              </w:rPr>
              <w:t>/educație/sport sau consiliere.</w:t>
            </w:r>
          </w:p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" w:hAnsi="Cambria"/>
                <w:sz w:val="24"/>
              </w:rPr>
              <w:t>-Evaluarea rezultatelor planificate asumate în raport cu prioritățile locale.</w:t>
            </w:r>
          </w:p>
          <w:p w:rsidR="009E03AD" w:rsidRDefault="00D32324" w:rsidP="00D31980">
            <w:pPr>
              <w:spacing w:line="360" w:lineRule="auto"/>
            </w:pPr>
            <w:r>
              <w:rPr>
                <w:rFonts w:ascii="Cambria" w:hAnsi="Cambria"/>
                <w:sz w:val="24"/>
              </w:rPr>
              <w:t>- Controlul respectării principiului eficienței utilizării resurselor.</w:t>
            </w:r>
          </w:p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</w:tr>
      <w:tr w:rsidR="009E03AD">
        <w:trPr>
          <w:trHeight w:val="540"/>
        </w:trPr>
        <w:tc>
          <w:tcPr>
            <w:tcW w:w="0" w:type="auto"/>
            <w:vMerge w:val="restart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EG 4</w:t>
            </w:r>
          </w:p>
        </w:tc>
        <w:tc>
          <w:tcPr>
            <w:tcW w:w="0" w:type="auto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 xml:space="preserve">Beneficiarul se încadrează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beneficiari eligibili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</w:tcPr>
          <w:p w:rsidR="009E03AD" w:rsidRDefault="009E03AD"/>
        </w:tc>
      </w:tr>
      <w:tr w:rsidR="009E03AD">
        <w:tc>
          <w:tcPr>
            <w:tcW w:w="0" w:type="dxa"/>
            <w:vMerge/>
          </w:tcPr>
          <w:p w:rsidR="009E03AD" w:rsidRDefault="009E03AD"/>
        </w:tc>
        <w:tc>
          <w:tcPr>
            <w:tcW w:w="0" w:type="auto"/>
          </w:tcPr>
          <w:p w:rsidR="00176CD4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Solicitanții trebuie să dețină </w:t>
            </w:r>
            <w:proofErr w:type="spellStart"/>
            <w:r>
              <w:rPr>
                <w:rFonts w:ascii="Cambria" w:hAnsi="Cambria"/>
                <w:sz w:val="24"/>
              </w:rPr>
              <w:t>Autorizaţie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funcţionare</w:t>
            </w:r>
            <w:proofErr w:type="spellEnd"/>
            <w:r>
              <w:rPr>
                <w:rFonts w:ascii="Cambria" w:hAnsi="Cambria"/>
                <w:sz w:val="24"/>
              </w:rPr>
              <w:t xml:space="preserve"> valabilă, pe</w:t>
            </w:r>
            <w:r w:rsidR="00176CD4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perioada implementării SDL. Se verifică </w:t>
            </w:r>
            <w:proofErr w:type="spellStart"/>
            <w:r>
              <w:rPr>
                <w:rFonts w:ascii="Cambria" w:hAnsi="Cambria"/>
                <w:sz w:val="24"/>
              </w:rPr>
              <w:t>Autorizaţia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funcţionare</w:t>
            </w:r>
            <w:proofErr w:type="spellEnd"/>
            <w:r w:rsidR="00176CD4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încărcată în platformă, pentru Programarea 2023-2027, caz in care</w:t>
            </w:r>
            <w:r w:rsidR="00176CD4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criteriul se </w:t>
            </w:r>
            <w:r>
              <w:rPr>
                <w:rFonts w:ascii="Cambria" w:hAnsi="Cambria"/>
                <w:sz w:val="24"/>
              </w:rPr>
              <w:t>considera</w:t>
            </w:r>
            <w:r w:rsidR="00176CD4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indeplinit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176CD4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Documente de verificat: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 xml:space="preserve">- Autorizația de funcționare valabilă pe perioada </w:t>
            </w:r>
            <w:r>
              <w:rPr>
                <w:rFonts w:ascii="Cambria" w:hAnsi="Cambria"/>
                <w:sz w:val="24"/>
              </w:rPr>
              <w:t xml:space="preserve"> implementării</w:t>
            </w:r>
            <w:r w:rsidR="00176CD4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SDL.</w:t>
            </w:r>
          </w:p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</w:tr>
      <w:tr w:rsidR="009E03AD">
        <w:trPr>
          <w:trHeight w:val="540"/>
        </w:trPr>
        <w:tc>
          <w:tcPr>
            <w:tcW w:w="0" w:type="auto"/>
            <w:vMerge w:val="restart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1B4167"/>
                <w:sz w:val="24"/>
              </w:rPr>
              <w:t>Activitatea propusă spre finanțare respectă valoarea sprijinului specificată in ghidul solicitantului.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0" w:type="auto"/>
            <w:vMerge w:val="restart"/>
          </w:tcPr>
          <w:p w:rsidR="009E03AD" w:rsidRDefault="009E03AD"/>
        </w:tc>
      </w:tr>
      <w:tr w:rsidR="009E03AD">
        <w:tc>
          <w:tcPr>
            <w:tcW w:w="0" w:type="dxa"/>
            <w:vMerge/>
          </w:tcPr>
          <w:p w:rsidR="009E03AD" w:rsidRDefault="009E03AD"/>
        </w:tc>
        <w:tc>
          <w:tcPr>
            <w:tcW w:w="0" w:type="auto"/>
          </w:tcPr>
          <w:p w:rsidR="00FA6B1C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Experții GAL </w:t>
            </w:r>
            <w:r>
              <w:rPr>
                <w:rFonts w:ascii="Cambria" w:hAnsi="Cambria"/>
                <w:sz w:val="24"/>
              </w:rPr>
              <w:t>DSGH verifică:</w:t>
            </w:r>
          </w:p>
          <w:p w:rsidR="00FA6B1C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Ghidul Solicitantului Intervenției FEADR nr. 6 din SDL</w:t>
            </w:r>
          </w:p>
          <w:p w:rsidR="00FA6B1C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 Cererea de Finanțare pentru cooperare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 xml:space="preserve">Experții GAL DSGH verifică dacă activitatea propusă spre </w:t>
            </w:r>
            <w:proofErr w:type="spellStart"/>
            <w:r>
              <w:rPr>
                <w:rFonts w:ascii="Cambria" w:hAnsi="Cambria"/>
                <w:sz w:val="24"/>
              </w:rPr>
              <w:t>finanțarese</w:t>
            </w:r>
            <w:proofErr w:type="spellEnd"/>
            <w:r>
              <w:rPr>
                <w:rFonts w:ascii="Cambria" w:hAnsi="Cambria"/>
                <w:sz w:val="24"/>
              </w:rPr>
              <w:t xml:space="preserve"> încadrează în valoarea maximă a </w:t>
            </w:r>
            <w:r>
              <w:rPr>
                <w:rFonts w:ascii="Cambria" w:hAnsi="Cambria"/>
                <w:sz w:val="24"/>
              </w:rPr>
              <w:lastRenderedPageBreak/>
              <w:t>sprijinului specificată în ghidul</w:t>
            </w:r>
            <w:r w:rsidR="00FA6B1C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solicitantulu</w:t>
            </w:r>
            <w:r>
              <w:rPr>
                <w:rFonts w:ascii="Cambria" w:hAnsi="Cambria"/>
                <w:sz w:val="24"/>
              </w:rPr>
              <w:t>i.</w:t>
            </w:r>
          </w:p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  <w:tc>
          <w:tcPr>
            <w:tcW w:w="0" w:type="dxa"/>
            <w:vMerge/>
          </w:tcPr>
          <w:p w:rsidR="009E03AD" w:rsidRDefault="009E03AD"/>
        </w:tc>
      </w:tr>
      <w:tr w:rsidR="009E03AD">
        <w:tc>
          <w:tcPr>
            <w:tcW w:w="400" w:type="pct"/>
            <w:shd w:val="clear" w:color="auto" w:fill="214F7D"/>
            <w:vAlign w:val="center"/>
          </w:tcPr>
          <w:p w:rsidR="009E03AD" w:rsidRDefault="00D32324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Proiectul respectă criteriile de eligibilitate generale verificate în baza formularului de verificare specific din procedura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9E03AD" w:rsidRDefault="009E03AD"/>
        </w:tc>
      </w:tr>
    </w:tbl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9E03AD">
        <w:trPr>
          <w:trHeight w:val="540"/>
        </w:trPr>
        <w:tc>
          <w:tcPr>
            <w:tcW w:w="0" w:type="auto"/>
            <w:vAlign w:val="center"/>
          </w:tcPr>
          <w:p w:rsidR="009E03AD" w:rsidRDefault="009E03AD"/>
        </w:tc>
      </w:tr>
    </w:tbl>
    <w:p w:rsidR="009E03AD" w:rsidRDefault="009E03A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9"/>
        <w:gridCol w:w="1832"/>
        <w:gridCol w:w="2749"/>
        <w:gridCol w:w="1832"/>
      </w:tblGrid>
      <w:tr w:rsidR="009E03AD">
        <w:trPr>
          <w:trHeight w:val="720"/>
        </w:trPr>
        <w:tc>
          <w:tcPr>
            <w:tcW w:w="1500" w:type="pct"/>
            <w:vAlign w:val="center"/>
          </w:tcPr>
          <w:p w:rsidR="009E03AD" w:rsidRDefault="00D32324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  <w:tc>
          <w:tcPr>
            <w:tcW w:w="1500" w:type="pct"/>
            <w:vAlign w:val="center"/>
          </w:tcPr>
          <w:p w:rsidR="009E03AD" w:rsidRDefault="00D32324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9E03AD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9E03AD" w:rsidRDefault="00D32324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9E03AD" w:rsidRDefault="009E03AD"/>
        </w:tc>
      </w:tr>
    </w:tbl>
    <w:p w:rsidR="009E03AD" w:rsidRDefault="00D32324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3"/>
        <w:gridCol w:w="2749"/>
        <w:gridCol w:w="1374"/>
        <w:gridCol w:w="1374"/>
        <w:gridCol w:w="2932"/>
      </w:tblGrid>
      <w:tr w:rsidR="009E03AD">
        <w:tc>
          <w:tcPr>
            <w:tcW w:w="400" w:type="pct"/>
            <w:shd w:val="clear" w:color="auto" w:fill="015840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 xml:space="preserve">Principii și criterii de 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9E03AD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9E03AD" w:rsidRDefault="00D32324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>Pentru fiecare criteriu de selecție este necesară justificarea acordării punctajului</w:t>
            </w:r>
          </w:p>
        </w:tc>
      </w:tr>
      <w:tr w:rsidR="009E03AD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9E03AD" w:rsidRDefault="00D32324">
            <w:r>
              <w:rPr>
                <w:rFonts w:ascii="Cambria" w:hAnsi="Cambria"/>
                <w:color w:val="014935"/>
                <w:sz w:val="24"/>
              </w:rPr>
              <w:t>1 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prioritizeaza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proiectele în ordinea descrescătoare a bugetului solicitat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9E03AD" w:rsidRDefault="009E03AD"/>
        </w:tc>
        <w:tc>
          <w:tcPr>
            <w:tcW w:w="0" w:type="auto"/>
            <w:shd w:val="clear" w:color="auto" w:fill="CCE1DB"/>
            <w:vAlign w:val="center"/>
          </w:tcPr>
          <w:p w:rsidR="009E03AD" w:rsidRDefault="009E03AD"/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 xml:space="preserve">Proiecte cu buget </w:t>
            </w:r>
            <w:r>
              <w:rPr>
                <w:rFonts w:ascii="Cambria" w:hAnsi="Cambria"/>
                <w:color w:val="58400C"/>
                <w:sz w:val="24"/>
              </w:rPr>
              <w:t>între 20.000 - 31.547 euro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4E0650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Proiectele vor fi punctate în funcție de valoarea totală a bugetului solicitat, în ordinea descrescătoare a acestuia, având în vedere că un buget mai mare reflectă o complexitate și un impact potențial mai ridicat al </w:t>
            </w:r>
            <w:r>
              <w:rPr>
                <w:rFonts w:ascii="Cambria" w:hAnsi="Cambria"/>
                <w:sz w:val="24"/>
              </w:rPr>
              <w:t>cooperării.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>Documente de verificat:- Cererea de Finanțare - Buget, Fundamentarea bugetului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Proiecte cu buget între 15.000 - 19.999 euro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4E0650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Proiectele vor fi punctate în funcție de valoarea totală a bugetului solicitat, în ordinea </w:t>
            </w:r>
            <w:r>
              <w:rPr>
                <w:rFonts w:ascii="Cambria" w:hAnsi="Cambria"/>
                <w:sz w:val="24"/>
              </w:rPr>
              <w:t>descrescătoare a acestuia, având în vedere că un buget mai mare reflectă o complexitate și un impact potențial mai ridicat al cooperării.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>Documente de verificat:- Cererea de Finanțare - Buget, Fundamentarea bugetului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Proiecte sub 15.000 euro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4E0650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Proiectele vor fi punctate în funcție de valoarea totală a bugetului solicitat, în ordinea descrescătoare a acestuia, având în vedere că un buget mai mare reflectă o complexitate și un impact potențial mai ridicat al </w:t>
            </w:r>
            <w:r>
              <w:rPr>
                <w:rFonts w:ascii="Cambria" w:hAnsi="Cambria"/>
                <w:sz w:val="24"/>
              </w:rPr>
              <w:t>cooperării.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lastRenderedPageBreak/>
              <w:t>Documente de verificat:- Cererea de Finanțare - Buget, Fundamentarea bugetului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lastRenderedPageBreak/>
              <w:t> </w:t>
            </w:r>
          </w:p>
        </w:tc>
      </w:tr>
      <w:tr w:rsidR="009E03AD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9E03AD" w:rsidRDefault="00D32324">
            <w:r>
              <w:rPr>
                <w:rFonts w:ascii="Cambria" w:hAnsi="Cambria"/>
                <w:color w:val="014935"/>
                <w:sz w:val="24"/>
              </w:rPr>
              <w:t>2 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principiul beneficiarilor direcți/indirecți; vor avea prioritate, în ordine descrescătoare, proiectele funcție de numărul total de beneficiari direcți/indirecți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>.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9E03AD" w:rsidRDefault="00D32324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50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9E03AD" w:rsidRDefault="009E03AD"/>
        </w:tc>
        <w:tc>
          <w:tcPr>
            <w:tcW w:w="0" w:type="auto"/>
            <w:shd w:val="clear" w:color="auto" w:fill="CCE1DB"/>
            <w:vAlign w:val="center"/>
          </w:tcPr>
          <w:p w:rsidR="009E03AD" w:rsidRDefault="009E03AD"/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Peste 200 beneficiari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50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4E0650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Proiectele sunt evaluate în funcție de amploarea grupului țintă și de capacitatea de a genera efecte pozitive asupra comunității.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 xml:space="preserve">Documente de verificat:- Cererea de finanțare - Secțiunea </w:t>
            </w:r>
            <w:r>
              <w:rPr>
                <w:rFonts w:ascii="Cambria" w:hAnsi="Cambria"/>
                <w:sz w:val="24"/>
              </w:rPr>
              <w:t>A10.6- Prezentarea activităților care se vor desfășura în cadrul proiectului în vederea realizării obiectivelor propuse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Între 50- 199 beneficiari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35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4E0650" w:rsidRDefault="00D32324">
            <w:pPr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Proiectele sunt evaluate în funcție de amploarea grupului țintă și de capacitatea de a </w:t>
            </w:r>
            <w:r>
              <w:rPr>
                <w:rFonts w:ascii="Cambria" w:hAnsi="Cambria"/>
                <w:sz w:val="24"/>
              </w:rPr>
              <w:t>genera efecte pozitive asupra  comunității.</w:t>
            </w:r>
          </w:p>
          <w:p w:rsidR="009E03AD" w:rsidRDefault="00D32324">
            <w:r>
              <w:rPr>
                <w:rFonts w:ascii="Cambria" w:hAnsi="Cambria"/>
                <w:sz w:val="24"/>
              </w:rPr>
              <w:t>Documente de verificat:- Cererea de finanțare - Secțiunea A10.6-  Prezentarea activităților care se vor desfășura în cadrul proiectului în vederea realizării obiectivelor propuse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CS 2.3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 xml:space="preserve">Sub 50 </w:t>
            </w:r>
            <w:r>
              <w:rPr>
                <w:rFonts w:ascii="Cambria" w:hAnsi="Cambria"/>
                <w:color w:val="58400C"/>
                <w:sz w:val="24"/>
              </w:rPr>
              <w:t>beneficiari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Proiectele sunt evaluate în funcție de amploarea grupului țintă și de capacitatea de a genera efecte pozitive asupra</w:t>
            </w:r>
            <w:r w:rsidR="004E0650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comunității.Documente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de verificat:- Cererea de finanțare - Secțiunea A10.6- Prezentarea activităților care se vor desfășu</w:t>
            </w:r>
            <w:r>
              <w:rPr>
                <w:rFonts w:ascii="Cambria" w:hAnsi="Cambria"/>
                <w:sz w:val="24"/>
              </w:rPr>
              <w:t>ra în cadrul proiectului în vederea realizării obiectivelor propuse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9E03AD" w:rsidRDefault="009E03AD"/>
        </w:tc>
      </w:tr>
      <w:tr w:rsidR="009E03AD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9E03AD" w:rsidRDefault="009E03AD"/>
        </w:tc>
      </w:tr>
    </w:tbl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9E03AD">
        <w:trPr>
          <w:trHeight w:val="540"/>
        </w:trPr>
        <w:tc>
          <w:tcPr>
            <w:tcW w:w="0" w:type="auto"/>
            <w:vAlign w:val="center"/>
          </w:tcPr>
          <w:p w:rsidR="009E03AD" w:rsidRDefault="009E03AD"/>
        </w:tc>
      </w:tr>
    </w:tbl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Justificarea criteriilor de departajare aplicate</w:t>
      </w:r>
      <w:r>
        <w:rPr>
          <w:rFonts w:ascii="Cambria" w:hAnsi="Cambria"/>
          <w:sz w:val="24"/>
        </w:rPr>
        <w:t> (dacă este cazul)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33"/>
        <w:gridCol w:w="2749"/>
        <w:gridCol w:w="1374"/>
        <w:gridCol w:w="1374"/>
        <w:gridCol w:w="2932"/>
      </w:tblGrid>
      <w:tr w:rsidR="009E03AD">
        <w:tc>
          <w:tcPr>
            <w:tcW w:w="400" w:type="pct"/>
            <w:shd w:val="clear" w:color="auto" w:fill="015840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Nr.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crt.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9E03AD" w:rsidRDefault="00D32324">
            <w:r>
              <w:rPr>
                <w:rFonts w:ascii="Cambria Bold" w:hAnsi="Cambria Bold"/>
                <w:b/>
                <w:color w:val="FFFFFF"/>
                <w:sz w:val="24"/>
              </w:rPr>
              <w:t>Criterii de departajare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obținut</w:t>
            </w:r>
          </w:p>
        </w:tc>
        <w:tc>
          <w:tcPr>
            <w:tcW w:w="0" w:type="auto"/>
            <w:shd w:val="clear" w:color="auto" w:fill="015840"/>
            <w:vAlign w:val="center"/>
          </w:tcPr>
          <w:p w:rsidR="009E03AD" w:rsidRDefault="00D32324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</w:p>
        </w:tc>
      </w:tr>
      <w:tr w:rsidR="009E03AD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9E03AD" w:rsidRDefault="00D32324">
            <w:pPr>
              <w:ind w:left="197" w:right="197" w:firstLine="493"/>
              <w:jc w:val="center"/>
            </w:pPr>
            <w:r>
              <w:rPr>
                <w:rFonts w:ascii="Cambria" w:hAnsi="Cambria"/>
                <w:color w:val="FFFFFF"/>
                <w:sz w:val="24"/>
              </w:rPr>
              <w:t xml:space="preserve">Pentru fiecare criteriu de departajare este necesară justificarea acordării </w:t>
            </w:r>
            <w:r>
              <w:rPr>
                <w:rFonts w:ascii="Cambria" w:hAnsi="Cambria"/>
                <w:color w:val="FFFFFF"/>
                <w:sz w:val="24"/>
              </w:rPr>
              <w:lastRenderedPageBreak/>
              <w:t>punctajului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lastRenderedPageBreak/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Numărul activităților concrete</w:t>
            </w:r>
            <w:r w:rsidR="004E0650">
              <w:rPr>
                <w:rFonts w:ascii="Cambria" w:hAnsi="Cambria"/>
                <w:color w:val="58400C"/>
                <w:sz w:val="24"/>
              </w:rPr>
              <w:t xml:space="preserve"> </w:t>
            </w:r>
            <w:r>
              <w:rPr>
                <w:rFonts w:ascii="Cambria" w:hAnsi="Cambria"/>
                <w:color w:val="58400C"/>
                <w:sz w:val="24"/>
              </w:rPr>
              <w:t>comune incluse în proiect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 xml:space="preserve">Proiectele se vor selecta în ordinea descrescătoare a numărului </w:t>
            </w:r>
            <w:r>
              <w:rPr>
                <w:rFonts w:ascii="Cambria" w:hAnsi="Cambria"/>
                <w:sz w:val="24"/>
              </w:rPr>
              <w:t>de</w:t>
            </w:r>
            <w:r w:rsidR="004E0650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activități comune, prevăzute la punctul 5 din Acordul de cooperare.Doc: Acordul de cooperare.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9E03AD"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r>
              <w:rPr>
                <w:rFonts w:ascii="Cambria" w:hAnsi="Cambria"/>
                <w:color w:val="58400C"/>
                <w:sz w:val="24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9E03AD" w:rsidRDefault="00D32324">
            <w:proofErr w:type="spellStart"/>
            <w:r>
              <w:rPr>
                <w:rFonts w:ascii="Cambria" w:hAnsi="Cambria"/>
                <w:color w:val="58400C"/>
                <w:sz w:val="24"/>
              </w:rPr>
              <w:t>Numarul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parteneri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dincadrul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proiectului</w:t>
            </w:r>
          </w:p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  <w:tc>
          <w:tcPr>
            <w:tcW w:w="0" w:type="auto"/>
            <w:vAlign w:val="center"/>
          </w:tcPr>
          <w:p w:rsidR="009E03AD" w:rsidRDefault="009E03AD"/>
        </w:tc>
      </w:tr>
      <w:tr w:rsidR="009E03AD">
        <w:tc>
          <w:tcPr>
            <w:tcW w:w="0" w:type="auto"/>
            <w:gridSpan w:val="5"/>
            <w:shd w:val="clear" w:color="auto" w:fill="DDDDDD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Proiectele se vor selecta în ordinea descrescătoare a numărului de</w:t>
            </w:r>
            <w:r w:rsidR="00567C90">
              <w:rPr>
                <w:rFonts w:ascii="Cambria" w:hAnsi="Cambr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Cambria" w:hAnsi="Cambria"/>
                <w:sz w:val="24"/>
              </w:rPr>
              <w:t xml:space="preserve">parteneri, prevăzut în cadrul </w:t>
            </w:r>
            <w:r>
              <w:rPr>
                <w:rFonts w:ascii="Cambria" w:hAnsi="Cambria"/>
                <w:sz w:val="24"/>
              </w:rPr>
              <w:t>Acordului de cooperare.Doc: Acordul de cooperare</w:t>
            </w:r>
          </w:p>
        </w:tc>
      </w:tr>
      <w:tr w:rsidR="009E03AD">
        <w:trPr>
          <w:trHeight w:val="360"/>
        </w:trPr>
        <w:tc>
          <w:tcPr>
            <w:tcW w:w="0" w:type="auto"/>
            <w:gridSpan w:val="5"/>
            <w:vAlign w:val="center"/>
          </w:tcPr>
          <w:p w:rsidR="009E03AD" w:rsidRDefault="00D32324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9E03AD" w:rsidRDefault="00D32324">
      <w:pPr>
        <w:spacing w:line="264" w:lineRule="auto"/>
      </w:pPr>
      <w:r>
        <w:rPr>
          <w:rFonts w:ascii="Cambria" w:hAnsi="Cambria"/>
          <w:sz w:val="24"/>
        </w:rPr>
        <w:br/>
      </w:r>
      <w:r>
        <w:rPr>
          <w:rFonts w:ascii="Cambria Bold" w:hAnsi="Cambria Bold"/>
          <w:b/>
          <w:sz w:val="24"/>
        </w:rPr>
        <w:t>Observații</w:t>
      </w:r>
      <w:r>
        <w:rPr>
          <w:rFonts w:ascii="Cambria" w:hAnsi="Cambria"/>
          <w:sz w:val="24"/>
        </w:rPr>
        <w:t> (opțional)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162"/>
      </w:tblGrid>
      <w:tr w:rsidR="009E03AD">
        <w:trPr>
          <w:trHeight w:val="540"/>
        </w:trPr>
        <w:tc>
          <w:tcPr>
            <w:tcW w:w="0" w:type="auto"/>
            <w:vAlign w:val="center"/>
          </w:tcPr>
          <w:p w:rsidR="009E03AD" w:rsidRDefault="009E03AD"/>
        </w:tc>
      </w:tr>
    </w:tbl>
    <w:p w:rsidR="009E03AD" w:rsidRDefault="009E03AD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66"/>
        <w:gridCol w:w="4696"/>
      </w:tblGrid>
      <w:tr w:rsidR="009E03AD">
        <w:trPr>
          <w:trHeight w:val="1080"/>
        </w:trPr>
        <w:tc>
          <w:tcPr>
            <w:tcW w:w="0" w:type="auto"/>
            <w:gridSpan w:val="2"/>
            <w:vAlign w:val="bottom"/>
          </w:tcPr>
          <w:p w:rsidR="009E03AD" w:rsidRDefault="00D32324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Verificat,</w:t>
            </w:r>
          </w:p>
        </w:tc>
      </w:tr>
      <w:tr w:rsidR="009E03AD">
        <w:trPr>
          <w:trHeight w:val="479"/>
        </w:trPr>
        <w:tc>
          <w:tcPr>
            <w:tcW w:w="0" w:type="auto"/>
            <w:vAlign w:val="center"/>
          </w:tcPr>
          <w:p w:rsidR="009E03AD" w:rsidRDefault="00D32324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>Semnătura și data _ _ _ _ _ _ _ _ _ _ _ _ _ _ _ _ _</w:t>
            </w:r>
          </w:p>
        </w:tc>
      </w:tr>
      <w:tr w:rsidR="009E03AD">
        <w:trPr>
          <w:trHeight w:val="479"/>
        </w:trPr>
        <w:tc>
          <w:tcPr>
            <w:tcW w:w="0" w:type="auto"/>
            <w:vAlign w:val="center"/>
          </w:tcPr>
          <w:p w:rsidR="009E03AD" w:rsidRDefault="00D32324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9E03AD" w:rsidRDefault="00D32324">
            <w:pPr>
              <w:keepNext/>
              <w:jc w:val="right"/>
            </w:pPr>
            <w:r>
              <w:rPr>
                <w:rFonts w:ascii="Cambria Bold" w:hAnsi="Cambria Bold"/>
                <w:b/>
                <w:sz w:val="24"/>
              </w:rPr>
              <w:t>Semnătura și data _ _ _ _ _ _ _ _ _ _ _ _ _ _ _ _ _</w:t>
            </w:r>
          </w:p>
        </w:tc>
      </w:tr>
    </w:tbl>
    <w:p w:rsidR="00D32324" w:rsidRDefault="00D32324"/>
    <w:sectPr w:rsidR="00D32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3AD"/>
    <w:rsid w:val="00176CD4"/>
    <w:rsid w:val="004E0650"/>
    <w:rsid w:val="00567C90"/>
    <w:rsid w:val="009E03AD"/>
    <w:rsid w:val="00A028A5"/>
    <w:rsid w:val="00BE55C4"/>
    <w:rsid w:val="00D23E03"/>
    <w:rsid w:val="00D31980"/>
    <w:rsid w:val="00D32324"/>
    <w:rsid w:val="00FA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453D"/>
  <w15:docId w15:val="{842265AF-541D-4584-9D32-2296CE772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1333</Words>
  <Characters>7735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2026-03-16T13:21:00Z</dcterms:created>
  <dcterms:modified xsi:type="dcterms:W3CDTF">2026-03-16T13:21:00Z</dcterms:modified>
</cp:coreProperties>
</file>